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D" w:rsidRDefault="007C119D" w:rsidP="007C119D">
      <w:pPr>
        <w:rPr>
          <w:sz w:val="28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243"/>
        <w:gridCol w:w="4962"/>
      </w:tblGrid>
      <w:tr w:rsidR="008D2C74" w:rsidRPr="00005696" w:rsidTr="000C5409">
        <w:tc>
          <w:tcPr>
            <w:tcW w:w="4718" w:type="dxa"/>
          </w:tcPr>
          <w:p w:rsidR="008D2C74" w:rsidRPr="00005696" w:rsidRDefault="008D2C74" w:rsidP="000C5409">
            <w:pPr>
              <w:jc w:val="center"/>
            </w:pPr>
            <w:r w:rsidRPr="00005696">
              <w:sym w:font="Arial New Bash" w:char="0411"/>
            </w:r>
            <w:r w:rsidRPr="00005696">
              <w:sym w:font="Arial New Bash" w:char="0410"/>
            </w:r>
            <w:proofErr w:type="gramStart"/>
            <w:r w:rsidRPr="00005696">
              <w:t>Ш</w:t>
            </w:r>
            <w:proofErr w:type="gramEnd"/>
            <w:r w:rsidRPr="00005696">
              <w:rPr>
                <w:lang w:val="be-BY"/>
              </w:rPr>
              <w:t>Ҡ</w:t>
            </w:r>
            <w:r w:rsidRPr="00005696">
              <w:sym w:font="Arial New Bash" w:char="041E"/>
            </w:r>
            <w:r w:rsidRPr="00005696">
              <w:sym w:font="Arial New Bash" w:char="0420"/>
            </w:r>
            <w:r w:rsidRPr="00005696">
              <w:sym w:font="Arial New Bash" w:char="0422"/>
            </w:r>
            <w:r w:rsidRPr="00005696">
              <w:sym w:font="Arial New Bash" w:char="041E"/>
            </w:r>
            <w:r w:rsidRPr="00005696">
              <w:sym w:font="Arial New Bash" w:char="0421"/>
            </w:r>
            <w:r w:rsidRPr="00005696">
              <w:sym w:font="Arial New Bash" w:char="0422"/>
            </w:r>
            <w:r w:rsidRPr="00005696">
              <w:sym w:font="Arial New Bash" w:char="0410"/>
            </w:r>
            <w:r w:rsidRPr="00005696">
              <w:sym w:font="Arial New Bash" w:char="041D"/>
            </w:r>
            <w:r w:rsidRPr="00005696">
              <w:t xml:space="preserve"> </w:t>
            </w:r>
            <w:r w:rsidRPr="00005696">
              <w:sym w:font="Arial New Bash" w:char="0420"/>
            </w:r>
            <w:r w:rsidRPr="00005696">
              <w:sym w:font="Arial New Bash" w:char="0415"/>
            </w:r>
            <w:r w:rsidRPr="00005696">
              <w:sym w:font="Arial New Bash" w:char="0421"/>
            </w:r>
            <w:r w:rsidRPr="00005696">
              <w:sym w:font="Arial New Bash" w:char="041F"/>
            </w:r>
            <w:r w:rsidRPr="00005696">
              <w:sym w:font="Arial New Bash" w:char="0423"/>
            </w:r>
            <w:r w:rsidRPr="00005696">
              <w:sym w:font="Arial New Bash" w:char="0411"/>
            </w:r>
            <w:r w:rsidRPr="00005696">
              <w:sym w:font="Arial New Bash" w:char="041B"/>
            </w:r>
            <w:r w:rsidRPr="00005696">
              <w:sym w:font="Arial New Bash" w:char="0418"/>
            </w:r>
            <w:r w:rsidRPr="00005696">
              <w:sym w:font="Arial New Bash" w:char="041A"/>
            </w:r>
            <w:r w:rsidRPr="00005696">
              <w:sym w:font="Arial New Bash" w:char="0410"/>
            </w:r>
            <w:r w:rsidRPr="00005696">
              <w:rPr>
                <w:lang w:val="be-BY"/>
              </w:rPr>
              <w:t>Һ</w:t>
            </w:r>
            <w:r w:rsidRPr="00005696">
              <w:sym w:font="Arial New Bash" w:char="042B"/>
            </w:r>
          </w:p>
          <w:p w:rsidR="008D2C74" w:rsidRPr="00005696" w:rsidRDefault="008D2C74" w:rsidP="000C5409">
            <w:pPr>
              <w:jc w:val="center"/>
              <w:rPr>
                <w:b/>
              </w:rPr>
            </w:pPr>
            <w:r w:rsidRPr="00005696">
              <w:rPr>
                <w:lang w:val="be-BY"/>
              </w:rPr>
              <w:t>Ә</w:t>
            </w:r>
            <w:r w:rsidRPr="00005696">
              <w:sym w:font="Arial New Bash" w:char="0411"/>
            </w:r>
            <w:r w:rsidRPr="00005696">
              <w:sym w:font="Arial New Bash" w:char="0419"/>
            </w:r>
            <w:r w:rsidRPr="00005696">
              <w:rPr>
                <w:lang w:val="be-BY"/>
              </w:rPr>
              <w:t>Ә</w:t>
            </w:r>
            <w:r w:rsidRPr="00005696">
              <w:sym w:font="Arial New Bash" w:char="041B"/>
            </w:r>
            <w:r w:rsidRPr="00005696">
              <w:sym w:font="Arial New Bash" w:char="0418"/>
            </w:r>
            <w:r w:rsidRPr="00005696">
              <w:sym w:font="Arial New Bash" w:char="041B"/>
            </w:r>
            <w:r w:rsidRPr="00005696">
              <w:t xml:space="preserve"> </w:t>
            </w:r>
            <w:r w:rsidRPr="00005696">
              <w:sym w:font="Arial New Bash" w:char="0420"/>
            </w:r>
            <w:r w:rsidRPr="00005696">
              <w:sym w:font="Arial New Bash" w:char="0410"/>
            </w:r>
            <w:r w:rsidRPr="00005696">
              <w:sym w:font="Arial New Bash" w:char="0419"/>
            </w:r>
            <w:r w:rsidRPr="00005696">
              <w:sym w:font="Arial New Bash" w:char="041E"/>
            </w:r>
            <w:r w:rsidRPr="00005696">
              <w:sym w:font="Arial New Bash" w:char="041D"/>
            </w:r>
            <w:r w:rsidRPr="00005696">
              <w:sym w:font="Arial New Bash" w:char="042B"/>
            </w:r>
          </w:p>
          <w:p w:rsidR="008D2C74" w:rsidRPr="00005696" w:rsidRDefault="008D2C74" w:rsidP="000C5409">
            <w:pPr>
              <w:jc w:val="center"/>
            </w:pPr>
            <w:r w:rsidRPr="00005696">
              <w:t xml:space="preserve"> Й</w:t>
            </w:r>
            <w:r w:rsidRPr="00005696">
              <w:rPr>
                <w:lang w:val="be-BY"/>
              </w:rPr>
              <w:t>Ә</w:t>
            </w:r>
            <w:r w:rsidRPr="00005696">
              <w:t>НГЕЛ АУЫЛ СОВЕТЫ</w:t>
            </w:r>
          </w:p>
          <w:p w:rsidR="008D2C74" w:rsidRPr="00005696" w:rsidRDefault="008D2C74" w:rsidP="000C5409">
            <w:pPr>
              <w:jc w:val="center"/>
            </w:pPr>
            <w:r w:rsidRPr="00005696">
              <w:t xml:space="preserve">МУНИЦИПИАЛЬ </w:t>
            </w:r>
            <w:proofErr w:type="gramStart"/>
            <w:r w:rsidRPr="00005696">
              <w:t>БЕР</w:t>
            </w:r>
            <w:r w:rsidRPr="00005696">
              <w:rPr>
                <w:lang w:val="be-BY"/>
              </w:rPr>
              <w:t>Ә</w:t>
            </w:r>
            <w:r w:rsidRPr="00005696">
              <w:t>МЕ</w:t>
            </w:r>
            <w:proofErr w:type="gramEnd"/>
            <w:r w:rsidRPr="00005696">
              <w:rPr>
                <w:lang w:val="be-BY"/>
              </w:rPr>
              <w:t>Һ</w:t>
            </w:r>
            <w:r w:rsidRPr="00005696">
              <w:t>Е</w:t>
            </w:r>
          </w:p>
          <w:p w:rsidR="008D2C74" w:rsidRPr="00005696" w:rsidRDefault="008D2C74" w:rsidP="000C5409">
            <w:pPr>
              <w:keepNext/>
              <w:jc w:val="center"/>
              <w:outlineLvl w:val="6"/>
              <w:rPr>
                <w:b/>
                <w:sz w:val="48"/>
                <w:lang w:val="be-BY"/>
              </w:rPr>
            </w:pPr>
            <w:r w:rsidRPr="00005696">
              <w:rPr>
                <w:b/>
                <w:sz w:val="48"/>
              </w:rPr>
              <w:t>БОЙОРО</w:t>
            </w:r>
            <w:r w:rsidRPr="00005696">
              <w:rPr>
                <w:b/>
                <w:sz w:val="48"/>
                <w:lang w:val="be-BY"/>
              </w:rPr>
              <w:t>Ҡ</w:t>
            </w:r>
          </w:p>
          <w:p w:rsidR="008D2C74" w:rsidRPr="00005696" w:rsidRDefault="008D2C74" w:rsidP="000C5409"/>
          <w:p w:rsidR="008D2C74" w:rsidRPr="00F44FEA" w:rsidRDefault="008D2C74" w:rsidP="000C5409">
            <w:pPr>
              <w:rPr>
                <w:lang w:val="ba-RU"/>
              </w:rPr>
            </w:pPr>
            <w:r w:rsidRPr="00005696">
              <w:t xml:space="preserve">         № </w:t>
            </w:r>
            <w:r>
              <w:rPr>
                <w:lang w:val="ba-RU"/>
              </w:rPr>
              <w:t>07</w:t>
            </w:r>
          </w:p>
          <w:p w:rsidR="008D2C74" w:rsidRPr="00005696" w:rsidRDefault="008D2C74" w:rsidP="000C5409">
            <w:pPr>
              <w:jc w:val="center"/>
            </w:pPr>
          </w:p>
          <w:p w:rsidR="008D2C74" w:rsidRPr="00005696" w:rsidRDefault="008D2C74" w:rsidP="000C5409">
            <w:pPr>
              <w:jc w:val="center"/>
            </w:pPr>
            <w:r w:rsidRPr="00005696">
              <w:t xml:space="preserve"> Й</w:t>
            </w:r>
            <w:r w:rsidRPr="00005696">
              <w:rPr>
                <w:lang w:val="be-BY"/>
              </w:rPr>
              <w:t>ә</w:t>
            </w:r>
            <w:proofErr w:type="spellStart"/>
            <w:r w:rsidRPr="00005696">
              <w:t>нгел</w:t>
            </w:r>
            <w:proofErr w:type="spellEnd"/>
            <w:r w:rsidRPr="00005696">
              <w:t xml:space="preserve"> </w:t>
            </w:r>
            <w:proofErr w:type="spellStart"/>
            <w:r w:rsidRPr="00005696">
              <w:t>ауылы</w:t>
            </w:r>
            <w:proofErr w:type="spellEnd"/>
          </w:p>
          <w:p w:rsidR="008D2C74" w:rsidRPr="00005696" w:rsidRDefault="008D2C74" w:rsidP="000C5409">
            <w:pPr>
              <w:rPr>
                <w:sz w:val="16"/>
              </w:rPr>
            </w:pPr>
          </w:p>
        </w:tc>
        <w:tc>
          <w:tcPr>
            <w:tcW w:w="243" w:type="dxa"/>
          </w:tcPr>
          <w:p w:rsidR="008D2C74" w:rsidRPr="00005696" w:rsidRDefault="008D2C74" w:rsidP="000C5409">
            <w:pPr>
              <w:jc w:val="center"/>
              <w:rPr>
                <w:sz w:val="16"/>
              </w:rPr>
            </w:pPr>
          </w:p>
          <w:p w:rsidR="008D2C74" w:rsidRPr="00005696" w:rsidRDefault="008D2C74" w:rsidP="000C5409">
            <w:pPr>
              <w:jc w:val="center"/>
              <w:rPr>
                <w:sz w:val="16"/>
              </w:rPr>
            </w:pPr>
          </w:p>
          <w:p w:rsidR="008D2C74" w:rsidRPr="00005696" w:rsidRDefault="008D2C74" w:rsidP="000C5409">
            <w:pPr>
              <w:jc w:val="center"/>
              <w:rPr>
                <w:sz w:val="16"/>
              </w:rPr>
            </w:pPr>
          </w:p>
        </w:tc>
        <w:tc>
          <w:tcPr>
            <w:tcW w:w="4962" w:type="dxa"/>
          </w:tcPr>
          <w:p w:rsidR="008D2C74" w:rsidRPr="00005696" w:rsidRDefault="008D2C74" w:rsidP="000C5409">
            <w:pPr>
              <w:jc w:val="center"/>
            </w:pPr>
            <w:r w:rsidRPr="00005696">
              <w:sym w:font="Arial New Bash" w:char="0420"/>
            </w:r>
            <w:r w:rsidRPr="00005696">
              <w:sym w:font="Arial New Bash" w:char="0415"/>
            </w:r>
            <w:r w:rsidRPr="00005696">
              <w:sym w:font="Arial New Bash" w:char="0421"/>
            </w:r>
            <w:r w:rsidRPr="00005696">
              <w:sym w:font="Arial New Bash" w:char="041F"/>
            </w:r>
            <w:r w:rsidRPr="00005696">
              <w:sym w:font="Arial New Bash" w:char="0423"/>
            </w:r>
            <w:r w:rsidRPr="00005696">
              <w:sym w:font="Arial New Bash" w:char="0411"/>
            </w:r>
            <w:r w:rsidRPr="00005696">
              <w:sym w:font="Arial New Bash" w:char="041B"/>
            </w:r>
            <w:r w:rsidRPr="00005696">
              <w:sym w:font="Arial New Bash" w:char="0418"/>
            </w:r>
            <w:r w:rsidRPr="00005696">
              <w:sym w:font="Arial New Bash" w:char="041A"/>
            </w:r>
            <w:r w:rsidRPr="00005696">
              <w:t>А Б</w:t>
            </w:r>
            <w:r w:rsidRPr="00005696">
              <w:sym w:font="Arial New Bash" w:char="0410"/>
            </w:r>
            <w:r w:rsidRPr="00005696">
              <w:sym w:font="Arial New Bash" w:char="0428"/>
            </w:r>
            <w:r w:rsidRPr="00005696">
              <w:sym w:font="Arial New Bash" w:char="041A"/>
            </w:r>
            <w:r w:rsidRPr="00005696">
              <w:sym w:font="Arial New Bash" w:char="041E"/>
            </w:r>
            <w:r w:rsidRPr="00005696">
              <w:sym w:font="Arial New Bash" w:char="0420"/>
            </w:r>
            <w:r w:rsidRPr="00005696">
              <w:sym w:font="Arial New Bash" w:char="0422"/>
            </w:r>
            <w:r w:rsidRPr="00005696">
              <w:sym w:font="Arial New Bash" w:char="041E"/>
            </w:r>
            <w:r w:rsidRPr="00005696">
              <w:sym w:font="Arial New Bash" w:char="0421"/>
            </w:r>
            <w:r w:rsidRPr="00005696">
              <w:sym w:font="Arial New Bash" w:char="0422"/>
            </w:r>
            <w:r w:rsidRPr="00005696">
              <w:sym w:font="Arial New Bash" w:char="0410"/>
            </w:r>
            <w:r w:rsidRPr="00005696">
              <w:sym w:font="Arial New Bash" w:char="041D"/>
            </w:r>
          </w:p>
          <w:p w:rsidR="008D2C74" w:rsidRPr="00005696" w:rsidRDefault="008D2C74" w:rsidP="000C5409">
            <w:pPr>
              <w:jc w:val="center"/>
            </w:pPr>
            <w:r w:rsidRPr="00005696">
              <w:sym w:font="Arial New Bash" w:char="0410"/>
            </w:r>
            <w:r w:rsidRPr="00005696">
              <w:sym w:font="Arial New Bash" w:char="0411"/>
            </w:r>
            <w:r w:rsidRPr="00005696">
              <w:sym w:font="Arial New Bash" w:char="0417"/>
            </w:r>
            <w:r w:rsidRPr="00005696">
              <w:sym w:font="Arial New Bash" w:char="0415"/>
            </w:r>
            <w:r w:rsidRPr="00005696">
              <w:sym w:font="Arial New Bash" w:char="041B"/>
            </w:r>
            <w:r w:rsidRPr="00005696">
              <w:sym w:font="Arial New Bash" w:char="0418"/>
            </w:r>
            <w:r w:rsidRPr="00005696">
              <w:sym w:font="Arial New Bash" w:char="041B"/>
            </w:r>
            <w:r w:rsidRPr="00005696">
              <w:sym w:font="Arial New Bash" w:char="041E"/>
            </w:r>
            <w:r w:rsidRPr="00005696">
              <w:sym w:font="Arial New Bash" w:char="0412"/>
            </w:r>
            <w:r w:rsidRPr="00005696">
              <w:sym w:font="Arial New Bash" w:char="0421"/>
            </w:r>
            <w:r w:rsidRPr="00005696">
              <w:sym w:font="Arial New Bash" w:char="041A"/>
            </w:r>
            <w:r w:rsidRPr="00005696">
              <w:t>ИЙ</w:t>
            </w:r>
            <w:r w:rsidRPr="00005696">
              <w:sym w:font="Arial New Bash" w:char="0020"/>
            </w:r>
            <w:r w:rsidRPr="00005696">
              <w:sym w:font="Arial New Bash" w:char="0420"/>
            </w:r>
            <w:r w:rsidRPr="00005696">
              <w:sym w:font="Arial New Bash" w:char="0410"/>
            </w:r>
            <w:r w:rsidRPr="00005696">
              <w:sym w:font="Arial New Bash" w:char="0419"/>
            </w:r>
            <w:r w:rsidRPr="00005696">
              <w:sym w:font="Arial New Bash" w:char="041E"/>
            </w:r>
            <w:r w:rsidRPr="00005696">
              <w:sym w:font="Arial New Bash" w:char="041D"/>
            </w:r>
          </w:p>
          <w:p w:rsidR="008D2C74" w:rsidRPr="00005696" w:rsidRDefault="008D2C74" w:rsidP="000C5409">
            <w:pPr>
              <w:jc w:val="center"/>
            </w:pPr>
            <w:r w:rsidRPr="00005696">
              <w:t>МУНИЦИПАЛЬНОГО РАЙОНА СЕЛЬСКОЕ ПОСЕЛЕНИЕ  ЯНГИЛЬСКИЙ СЕЛЬСОВЕТ</w:t>
            </w:r>
          </w:p>
          <w:p w:rsidR="008D2C74" w:rsidRPr="00005696" w:rsidRDefault="008D2C74" w:rsidP="000C5409">
            <w:pPr>
              <w:keepNext/>
              <w:jc w:val="center"/>
              <w:outlineLvl w:val="0"/>
              <w:rPr>
                <w:b/>
                <w:bCs/>
                <w:sz w:val="48"/>
              </w:rPr>
            </w:pPr>
            <w:r w:rsidRPr="00005696">
              <w:rPr>
                <w:b/>
                <w:bCs/>
                <w:sz w:val="48"/>
              </w:rPr>
              <w:t>РАСПОРЯЖЕНИЕ</w:t>
            </w:r>
          </w:p>
          <w:p w:rsidR="008D2C74" w:rsidRPr="00005696" w:rsidRDefault="008D2C74" w:rsidP="000C5409"/>
          <w:p w:rsidR="008D2C74" w:rsidRPr="00005696" w:rsidRDefault="008D2C74" w:rsidP="000C5409">
            <w:pPr>
              <w:jc w:val="center"/>
            </w:pPr>
            <w:r w:rsidRPr="00005696">
              <w:t xml:space="preserve">« </w:t>
            </w:r>
            <w:r>
              <w:t>04</w:t>
            </w:r>
            <w:r w:rsidRPr="00005696">
              <w:t xml:space="preserve">» </w:t>
            </w:r>
            <w:r>
              <w:rPr>
                <w:lang w:val="ba-RU"/>
              </w:rPr>
              <w:t>февраля</w:t>
            </w:r>
            <w:r>
              <w:t xml:space="preserve"> 2020</w:t>
            </w:r>
            <w:r w:rsidRPr="00005696">
              <w:t xml:space="preserve"> г.</w:t>
            </w:r>
          </w:p>
          <w:p w:rsidR="008D2C74" w:rsidRPr="00005696" w:rsidRDefault="008D2C74" w:rsidP="000C5409"/>
          <w:p w:rsidR="008D2C74" w:rsidRPr="00005696" w:rsidRDefault="008D2C74" w:rsidP="000C5409">
            <w:pPr>
              <w:jc w:val="center"/>
            </w:pPr>
            <w:r w:rsidRPr="00005696">
              <w:t xml:space="preserve"> с. Янгельское</w:t>
            </w:r>
          </w:p>
        </w:tc>
      </w:tr>
    </w:tbl>
    <w:p w:rsidR="000774AA" w:rsidRDefault="000774AA" w:rsidP="007C119D">
      <w:pPr>
        <w:rPr>
          <w:sz w:val="28"/>
        </w:rPr>
      </w:pPr>
    </w:p>
    <w:p w:rsidR="007C119D" w:rsidRDefault="007C119D" w:rsidP="007C119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C119D" w:rsidRDefault="007C119D" w:rsidP="00A5047E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191CE9" w:rsidRPr="00794A6D" w:rsidRDefault="00191CE9" w:rsidP="0024481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>О порядке взаимодействия администрации</w:t>
      </w:r>
      <w:r w:rsidR="00A94FA2"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D2C74">
        <w:rPr>
          <w:rFonts w:ascii="Times New Roman" w:hAnsi="Times New Roman" w:cs="Times New Roman"/>
          <w:color w:val="000000"/>
          <w:sz w:val="24"/>
          <w:szCs w:val="24"/>
        </w:rPr>
        <w:t>Янгильский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A94FA2" w:rsidRPr="00794A6D" w:rsidRDefault="00A94FA2" w:rsidP="00A94FA2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794A6D" w:rsidRDefault="00191CE9" w:rsidP="00191CE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частью 6 статьи 99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12 декабря 2015 года № 1367, </w:t>
      </w:r>
      <w:hyperlink r:id="rId9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</w:t>
      </w:r>
      <w:proofErr w:type="gramEnd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191CE9" w:rsidRPr="00794A6D" w:rsidRDefault="00191CE9" w:rsidP="00191CE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CE9" w:rsidRPr="00794A6D" w:rsidRDefault="00994B03" w:rsidP="00A94FA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4A6D">
        <w:rPr>
          <w:rFonts w:ascii="Times New Roman" w:hAnsi="Times New Roman" w:cs="Times New Roman"/>
          <w:b/>
          <w:color w:val="000000"/>
          <w:sz w:val="24"/>
          <w:szCs w:val="24"/>
        </w:rPr>
        <w:t>РАСПОРЯЖАЮСЬ</w:t>
      </w:r>
      <w:r w:rsidR="00191CE9" w:rsidRPr="00794A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1CE9" w:rsidRPr="00794A6D" w:rsidRDefault="00191CE9" w:rsidP="00191CE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794A6D" w:rsidRDefault="00191CE9" w:rsidP="0031499B">
      <w:pPr>
        <w:pStyle w:val="ConsPlusNormal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w:anchor="P36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</w:t>
      </w:r>
      <w:r w:rsidR="00026D6B" w:rsidRPr="00794A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</w:t>
      </w:r>
      <w:r w:rsidR="008D2C74">
        <w:rPr>
          <w:rFonts w:ascii="Times New Roman" w:hAnsi="Times New Roman" w:cs="Times New Roman"/>
          <w:color w:val="000000"/>
          <w:sz w:val="24"/>
          <w:szCs w:val="24"/>
        </w:rPr>
        <w:t>Янгильский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 с субъектами контроля, указанными в </w:t>
      </w:r>
      <w:hyperlink r:id="rId10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0774AA" w:rsidRPr="00794A6D" w:rsidRDefault="000774AA" w:rsidP="0031499B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794A6D">
        <w:rPr>
          <w:rFonts w:ascii="Times New Roman" w:hAnsi="Times New Roman"/>
          <w:b w:val="0"/>
          <w:sz w:val="24"/>
          <w:szCs w:val="24"/>
        </w:rPr>
        <w:t xml:space="preserve">Признать утратившим силу  Распоряжение главы   сельского поселения </w:t>
      </w:r>
      <w:r w:rsidR="008D2C74">
        <w:rPr>
          <w:rFonts w:ascii="Times New Roman" w:hAnsi="Times New Roman"/>
          <w:b w:val="0"/>
          <w:sz w:val="24"/>
          <w:szCs w:val="24"/>
        </w:rPr>
        <w:t>Янгильский</w:t>
      </w:r>
      <w:r w:rsidRPr="00794A6D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 w:rsidR="0031499B" w:rsidRPr="00794A6D">
        <w:rPr>
          <w:rFonts w:ascii="Times New Roman" w:hAnsi="Times New Roman"/>
          <w:b w:val="0"/>
          <w:sz w:val="24"/>
          <w:szCs w:val="24"/>
        </w:rPr>
        <w:t xml:space="preserve"> </w:t>
      </w:r>
      <w:r w:rsidR="008D2C74">
        <w:rPr>
          <w:rFonts w:ascii="Times New Roman" w:hAnsi="Times New Roman"/>
          <w:b w:val="0"/>
          <w:sz w:val="24"/>
          <w:szCs w:val="24"/>
        </w:rPr>
        <w:t>от  28</w:t>
      </w:r>
      <w:r w:rsidRPr="00794A6D">
        <w:rPr>
          <w:rFonts w:ascii="Times New Roman" w:hAnsi="Times New Roman"/>
          <w:b w:val="0"/>
          <w:sz w:val="24"/>
          <w:szCs w:val="24"/>
        </w:rPr>
        <w:t>.12.2016</w:t>
      </w:r>
      <w:r w:rsidR="0031499B" w:rsidRPr="00794A6D">
        <w:rPr>
          <w:rFonts w:ascii="Times New Roman" w:hAnsi="Times New Roman"/>
          <w:b w:val="0"/>
          <w:sz w:val="24"/>
          <w:szCs w:val="24"/>
        </w:rPr>
        <w:t xml:space="preserve"> года    </w:t>
      </w:r>
      <w:r w:rsidR="008D2C74">
        <w:rPr>
          <w:rFonts w:ascii="Times New Roman" w:hAnsi="Times New Roman"/>
          <w:b w:val="0"/>
          <w:sz w:val="24"/>
          <w:szCs w:val="24"/>
        </w:rPr>
        <w:t xml:space="preserve"> № 40/1</w:t>
      </w:r>
      <w:r w:rsidRPr="00794A6D">
        <w:rPr>
          <w:rFonts w:ascii="Times New Roman" w:hAnsi="Times New Roman"/>
          <w:b w:val="0"/>
          <w:sz w:val="24"/>
          <w:szCs w:val="24"/>
        </w:rPr>
        <w:t xml:space="preserve">  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«О порядке в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заимодействия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администрации 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r w:rsidR="008D2C74">
        <w:rPr>
          <w:rFonts w:ascii="Times New Roman" w:hAnsi="Times New Roman" w:cs="Times New Roman"/>
          <w:b w:val="0"/>
          <w:color w:val="000000"/>
          <w:sz w:val="24"/>
          <w:szCs w:val="24"/>
        </w:rPr>
        <w:t>Янгильский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  с субъектами контроля, указанными в пункте 4 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правил осуществления контроля, 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предусмотренного частью 5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статьи 99 Федерального закона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«О контрактной системе в сфере зак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упок товаров, работ, услуг</w:t>
      </w:r>
      <w:proofErr w:type="gramEnd"/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для обеспечения государс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твенных и муниципальных нужд»,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утвержденных постановлением Прав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ительства Российской Федерации  от 12 декабря 2015 года № 1367»</w:t>
      </w:r>
      <w:r w:rsidRPr="00794A6D">
        <w:rPr>
          <w:rFonts w:ascii="Times New Roman" w:hAnsi="Times New Roman"/>
          <w:b w:val="0"/>
          <w:sz w:val="24"/>
          <w:szCs w:val="24"/>
        </w:rPr>
        <w:t xml:space="preserve">   </w:t>
      </w:r>
      <w:r w:rsidR="008D2C74">
        <w:rPr>
          <w:rFonts w:ascii="Times New Roman" w:hAnsi="Times New Roman"/>
          <w:b w:val="0"/>
          <w:sz w:val="24"/>
          <w:szCs w:val="24"/>
        </w:rPr>
        <w:t>с.04</w:t>
      </w:r>
      <w:r w:rsidR="0031499B" w:rsidRPr="00794A6D">
        <w:rPr>
          <w:rFonts w:ascii="Times New Roman" w:hAnsi="Times New Roman"/>
          <w:b w:val="0"/>
          <w:sz w:val="24"/>
          <w:szCs w:val="24"/>
        </w:rPr>
        <w:t>.02.2020 года</w:t>
      </w:r>
      <w:proofErr w:type="gramStart"/>
      <w:r w:rsidR="0031499B" w:rsidRPr="00794A6D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794A6D">
        <w:rPr>
          <w:rFonts w:ascii="Times New Roman" w:hAnsi="Times New Roman"/>
          <w:b w:val="0"/>
          <w:sz w:val="24"/>
          <w:szCs w:val="24"/>
        </w:rPr>
        <w:t xml:space="preserve">                   </w:t>
      </w:r>
    </w:p>
    <w:p w:rsidR="00191CE9" w:rsidRPr="00794A6D" w:rsidRDefault="00191CE9" w:rsidP="0031499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A6D">
        <w:rPr>
          <w:rFonts w:ascii="Times New Roman" w:hAnsi="Times New Roman"/>
          <w:sz w:val="24"/>
          <w:szCs w:val="24"/>
        </w:rPr>
        <w:t xml:space="preserve">Настоящее </w:t>
      </w:r>
      <w:r w:rsidR="00026D6B" w:rsidRPr="00794A6D">
        <w:rPr>
          <w:rFonts w:ascii="Times New Roman" w:hAnsi="Times New Roman"/>
          <w:sz w:val="24"/>
          <w:szCs w:val="24"/>
        </w:rPr>
        <w:t>распоряжение</w:t>
      </w:r>
      <w:r w:rsidRPr="00794A6D">
        <w:rPr>
          <w:rFonts w:ascii="Times New Roman" w:hAnsi="Times New Roman"/>
          <w:sz w:val="24"/>
          <w:szCs w:val="24"/>
        </w:rPr>
        <w:t xml:space="preserve"> разместить в сети «Интернет» на официальном сайте Администрации сельского поселения </w:t>
      </w:r>
      <w:r w:rsidR="008D2C74">
        <w:rPr>
          <w:rFonts w:ascii="Times New Roman" w:hAnsi="Times New Roman"/>
          <w:sz w:val="24"/>
          <w:szCs w:val="24"/>
        </w:rPr>
        <w:t>Янгильский</w:t>
      </w:r>
      <w:r w:rsidRPr="00794A6D">
        <w:rPr>
          <w:rFonts w:ascii="Times New Roman" w:hAnsi="Times New Roman"/>
          <w:sz w:val="24"/>
          <w:szCs w:val="24"/>
        </w:rPr>
        <w:t xml:space="preserve"> сельсовет муниципального района Абзелиловский район Республики Башкортостан и обнародовать на информационном стенде в здании Администрации сельского поселения </w:t>
      </w:r>
      <w:r w:rsidR="008D2C74">
        <w:rPr>
          <w:rFonts w:ascii="Times New Roman" w:hAnsi="Times New Roman"/>
          <w:sz w:val="24"/>
          <w:szCs w:val="24"/>
        </w:rPr>
        <w:t>Янгильский</w:t>
      </w:r>
      <w:r w:rsidRPr="00794A6D">
        <w:rPr>
          <w:rFonts w:ascii="Times New Roman" w:hAnsi="Times New Roman"/>
          <w:sz w:val="24"/>
          <w:szCs w:val="24"/>
        </w:rPr>
        <w:t xml:space="preserve"> сельсовет муниципального района Абзелиловски</w:t>
      </w:r>
      <w:r w:rsidR="000774AA" w:rsidRPr="00794A6D">
        <w:rPr>
          <w:rFonts w:ascii="Times New Roman" w:hAnsi="Times New Roman"/>
          <w:sz w:val="24"/>
          <w:szCs w:val="24"/>
        </w:rPr>
        <w:t>й район Республики Башкортостан</w:t>
      </w:r>
    </w:p>
    <w:p w:rsidR="00191CE9" w:rsidRPr="00794A6D" w:rsidRDefault="00191CE9" w:rsidP="000774AA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4A6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94A6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026D6B" w:rsidRPr="00794A6D"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Pr="00794A6D">
        <w:rPr>
          <w:rFonts w:ascii="Times New Roman" w:hAnsi="Times New Roman"/>
          <w:color w:val="000000"/>
          <w:sz w:val="24"/>
          <w:szCs w:val="24"/>
        </w:rPr>
        <w:t xml:space="preserve"> оставляю за собой.</w:t>
      </w:r>
    </w:p>
    <w:p w:rsidR="00191CE9" w:rsidRPr="00794A6D" w:rsidRDefault="00191CE9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794A6D" w:rsidRDefault="00191CE9" w:rsidP="00191CE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Глава сельского поселения                               </w:t>
      </w:r>
      <w:r w:rsidR="00794A6D"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8D2C74">
        <w:rPr>
          <w:rFonts w:ascii="Times New Roman" w:hAnsi="Times New Roman" w:cs="Times New Roman"/>
          <w:color w:val="000000"/>
          <w:sz w:val="24"/>
          <w:szCs w:val="24"/>
        </w:rPr>
        <w:t>Р.Э.Кадыров</w:t>
      </w:r>
      <w:proofErr w:type="spellEnd"/>
    </w:p>
    <w:p w:rsidR="00191CE9" w:rsidRPr="00A72D94" w:rsidRDefault="00191CE9" w:rsidP="00A94FA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FA2" w:rsidRDefault="00A94FA2" w:rsidP="00A94FA2">
      <w:pPr>
        <w:jc w:val="both"/>
        <w:rPr>
          <w:bCs/>
          <w:color w:val="000000"/>
          <w:sz w:val="26"/>
          <w:szCs w:val="26"/>
        </w:rPr>
        <w:sectPr w:rsidR="00A94FA2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191CE9" w:rsidRPr="0045341F" w:rsidTr="00A94FA2">
        <w:tc>
          <w:tcPr>
            <w:tcW w:w="4785" w:type="dxa"/>
          </w:tcPr>
          <w:p w:rsidR="00191CE9" w:rsidRPr="0045341F" w:rsidRDefault="00191CE9" w:rsidP="00A94FA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191CE9" w:rsidRPr="00B66A6C" w:rsidRDefault="00191CE9" w:rsidP="00A94FA2">
            <w:pPr>
              <w:ind w:left="-104"/>
              <w:jc w:val="both"/>
              <w:rPr>
                <w:bCs/>
                <w:color w:val="000000"/>
              </w:rPr>
            </w:pPr>
            <w:proofErr w:type="gramStart"/>
            <w:r w:rsidRPr="00B66A6C">
              <w:rPr>
                <w:bCs/>
                <w:color w:val="000000"/>
              </w:rPr>
              <w:t>Утвержден</w:t>
            </w:r>
            <w:proofErr w:type="gramEnd"/>
            <w:r w:rsidR="00A94FA2" w:rsidRPr="00A94FA2">
              <w:rPr>
                <w:bCs/>
                <w:color w:val="000000"/>
              </w:rPr>
              <w:t xml:space="preserve"> </w:t>
            </w:r>
            <w:r w:rsidR="00794A6D">
              <w:rPr>
                <w:bCs/>
                <w:color w:val="000000"/>
              </w:rPr>
              <w:t xml:space="preserve">распоряжением </w:t>
            </w:r>
            <w:r w:rsidRPr="00B66A6C">
              <w:rPr>
                <w:bCs/>
                <w:color w:val="000000"/>
              </w:rPr>
              <w:t xml:space="preserve"> администрации сельского поселения </w:t>
            </w:r>
            <w:r w:rsidR="008D2C74">
              <w:rPr>
                <w:bCs/>
                <w:color w:val="000000"/>
              </w:rPr>
              <w:t>Янгильский</w:t>
            </w:r>
            <w:r w:rsidRPr="00B66A6C">
              <w:rPr>
                <w:bCs/>
                <w:color w:val="000000"/>
              </w:rPr>
              <w:t xml:space="preserve"> сельсовет муниципального района Абзелиловский район Республики Башкортостан </w:t>
            </w:r>
            <w:r w:rsidR="008D2C74">
              <w:rPr>
                <w:bCs/>
                <w:color w:val="000000"/>
              </w:rPr>
              <w:t>от 04.02.2020 года № 07</w:t>
            </w:r>
            <w:bookmarkStart w:id="0" w:name="_GoBack"/>
            <w:bookmarkEnd w:id="0"/>
          </w:p>
        </w:tc>
      </w:tr>
    </w:tbl>
    <w:p w:rsidR="00191CE9" w:rsidRDefault="00191CE9" w:rsidP="00191CE9">
      <w:pPr>
        <w:jc w:val="both"/>
        <w:rPr>
          <w:bCs/>
          <w:color w:val="000000"/>
          <w:sz w:val="26"/>
          <w:szCs w:val="26"/>
        </w:rPr>
      </w:pPr>
    </w:p>
    <w:p w:rsidR="00191CE9" w:rsidRPr="00665228" w:rsidRDefault="00191CE9" w:rsidP="00191C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91CE9" w:rsidRPr="00665228" w:rsidRDefault="00191CE9" w:rsidP="00A94FA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8D2C74">
        <w:rPr>
          <w:rFonts w:ascii="Times New Roman" w:hAnsi="Times New Roman" w:cs="Times New Roman"/>
          <w:b/>
          <w:color w:val="000000"/>
          <w:sz w:val="28"/>
          <w:szCs w:val="28"/>
        </w:rPr>
        <w:t>Янгильский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Абзелилов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191CE9" w:rsidRPr="009A4DCE" w:rsidRDefault="00191CE9" w:rsidP="00191CE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026D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D2C74">
        <w:rPr>
          <w:rFonts w:ascii="Times New Roman" w:hAnsi="Times New Roman" w:cs="Times New Roman"/>
          <w:color w:val="000000"/>
          <w:sz w:val="28"/>
          <w:szCs w:val="28"/>
        </w:rPr>
        <w:t>Янгильский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191CE9" w:rsidRPr="009A4DCE" w:rsidRDefault="00191CE9" w:rsidP="00A94FA2">
      <w:pPr>
        <w:ind w:firstLine="708"/>
        <w:jc w:val="both"/>
        <w:rPr>
          <w:color w:val="000000"/>
          <w:sz w:val="28"/>
          <w:szCs w:val="28"/>
        </w:rPr>
      </w:pPr>
      <w:r w:rsidRPr="00DF6A04">
        <w:rPr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DF6A04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проверяет в соответствии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получателей средств бюджета 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D2C74">
        <w:rPr>
          <w:rFonts w:ascii="Times New Roman" w:hAnsi="Times New Roman" w:cs="Times New Roman"/>
          <w:color w:val="000000"/>
          <w:sz w:val="28"/>
          <w:szCs w:val="28"/>
        </w:rPr>
        <w:t>Янгильский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Pr="005033E1">
        <w:rPr>
          <w:rFonts w:ascii="Times New Roman" w:hAnsi="Times New Roman" w:cs="Times New Roman"/>
          <w:sz w:val="28"/>
          <w:szCs w:val="28"/>
        </w:rPr>
        <w:t>Абзелиловский район Республики Башкортостан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D2C74">
        <w:rPr>
          <w:rFonts w:ascii="Times New Roman" w:hAnsi="Times New Roman" w:cs="Times New Roman"/>
          <w:color w:val="000000"/>
          <w:sz w:val="28"/>
          <w:szCs w:val="28"/>
        </w:rPr>
        <w:t>Янгильский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033E1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поставленного на учет в соответствии с Порядком учета бюджетных обязательств.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(закрытыми объектами контроля):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D2C74">
        <w:rPr>
          <w:rFonts w:ascii="Times New Roman" w:hAnsi="Times New Roman" w:cs="Times New Roman"/>
          <w:color w:val="000000"/>
          <w:sz w:val="28"/>
          <w:szCs w:val="28"/>
        </w:rPr>
        <w:t>Янгильский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D2C74">
        <w:rPr>
          <w:rFonts w:ascii="Times New Roman" w:hAnsi="Times New Roman" w:cs="Times New Roman"/>
          <w:color w:val="000000"/>
          <w:sz w:val="28"/>
          <w:szCs w:val="28"/>
        </w:rPr>
        <w:t>Янгильский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вский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плане-графике закупок, над объемом финансового обеспечения по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соответствующему финансовому году и по соответствующему идентификационному коду закупки, указанным в плане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91CE9" w:rsidRPr="009A4DCE" w:rsidRDefault="00191CE9" w:rsidP="00191CE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>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>13. Предусмотренное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11 настоящего Порядка взаимодействие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субъектов контроля </w:t>
      </w:r>
      <w:r w:rsidRPr="00994B03">
        <w:rPr>
          <w:rFonts w:ascii="Times New Roman" w:hAnsi="Times New Roman" w:cs="Times New Roman"/>
          <w:sz w:val="28"/>
          <w:szCs w:val="28"/>
        </w:rPr>
        <w:t xml:space="preserve">с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при проверке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94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направления субъекту контроля </w:t>
      </w:r>
      <w:r w:rsidRPr="00994B03">
        <w:rPr>
          <w:rFonts w:ascii="Times New Roman" w:hAnsi="Times New Roman" w:cs="Times New Roman"/>
          <w:sz w:val="28"/>
          <w:szCs w:val="28"/>
        </w:rPr>
        <w:t xml:space="preserve">уведомления о начале контроля или поступления объекта контроля на бумажном носителе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>: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994B03">
        <w:rPr>
          <w:rFonts w:ascii="Times New Roman" w:hAnsi="Times New Roman" w:cs="Times New Roman"/>
          <w:sz w:val="28"/>
          <w:szCs w:val="28"/>
        </w:rPr>
        <w:t xml:space="preserve">Федерации от 12 декабря 2015 года № 1367, утвержденным приказом Министерства финансов Российской Федерации от 22 июля 2016 года № 120н согласно приложению № 5, или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191CE9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11 настоящего Порядка, до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F621E" w:rsidRDefault="005F621E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Pr="00B4135C" w:rsidRDefault="00191CE9" w:rsidP="001A3382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администрации</w:t>
      </w:r>
      <w:r w:rsidR="001A33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1A3382" w:rsidRDefault="008D2C74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Янгильский</w:t>
      </w:r>
      <w:r w:rsidR="00191CE9">
        <w:rPr>
          <w:sz w:val="16"/>
          <w:szCs w:val="16"/>
        </w:rPr>
        <w:t xml:space="preserve"> сельсовет</w:t>
      </w:r>
      <w:r w:rsidR="001A3382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>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Республики Башкортостан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и муниципальных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нужд", утвержденных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B4135C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191CE9" w:rsidRPr="00E370D1" w:rsidTr="00A94FA2">
        <w:tc>
          <w:tcPr>
            <w:tcW w:w="4139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91CE9" w:rsidRPr="00E370D1" w:rsidTr="00A94FA2">
        <w:tc>
          <w:tcPr>
            <w:tcW w:w="4139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191CE9" w:rsidRPr="00E370D1" w:rsidTr="00A94FA2">
        <w:tc>
          <w:tcPr>
            <w:tcW w:w="4139" w:type="dxa"/>
            <w:vMerge w:val="restart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91CE9" w:rsidRPr="00E370D1" w:rsidTr="00A94FA2">
        <w:tc>
          <w:tcPr>
            <w:tcW w:w="4139" w:type="dxa"/>
            <w:vMerge/>
          </w:tcPr>
          <w:p w:rsidR="00191CE9" w:rsidRPr="00E370D1" w:rsidRDefault="00191CE9" w:rsidP="00A94FA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91CE9" w:rsidRPr="00853CDF" w:rsidRDefault="00191CE9" w:rsidP="00191CE9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191CE9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</w:t>
      </w:r>
      <w:r w:rsidR="005033E1">
        <w:rPr>
          <w:rFonts w:ascii="Courier New" w:hAnsi="Courier New" w:cs="Courier New"/>
          <w:sz w:val="16"/>
          <w:szCs w:val="20"/>
        </w:rPr>
        <w:t xml:space="preserve">     </w:t>
      </w:r>
      <w:r>
        <w:rPr>
          <w:rFonts w:ascii="Courier New" w:hAnsi="Courier New" w:cs="Courier New"/>
          <w:sz w:val="16"/>
          <w:szCs w:val="20"/>
        </w:rPr>
        <w:t xml:space="preserve">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191CE9" w:rsidRPr="00B4135C" w:rsidRDefault="00191CE9" w:rsidP="00191CE9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5F621E" w:rsidRDefault="005F621E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853CDF" w:rsidRDefault="00191CE9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91CE9" w:rsidRPr="001A3382" w:rsidRDefault="00191CE9" w:rsidP="001A33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B4135C" w:rsidRDefault="00191CE9" w:rsidP="001A3382">
      <w:pPr>
        <w:widowControl w:val="0"/>
        <w:autoSpaceDE w:val="0"/>
        <w:autoSpaceDN w:val="0"/>
      </w:pPr>
      <w:r w:rsidRPr="00B4135C">
        <w:t xml:space="preserve">Отметка Финансового </w:t>
      </w:r>
      <w:r>
        <w:t>органа</w:t>
      </w:r>
      <w:r w:rsidR="001A3382">
        <w:t xml:space="preserve"> администрации сельского поселения </w:t>
      </w:r>
      <w:r w:rsidR="008D2C74">
        <w:t>Янгильский</w:t>
      </w:r>
      <w:r w:rsidR="001A3382">
        <w:t xml:space="preserve"> сельсовет муниципального района Абзелиловский район Республики Башкортостан </w:t>
      </w:r>
      <w:r w:rsidRPr="00B4135C">
        <w:t>о соответствии контролируемой информации требованиям,</w:t>
      </w:r>
      <w:r>
        <w:t xml:space="preserve"> </w:t>
      </w:r>
      <w:r w:rsidRPr="00B4135C">
        <w:t xml:space="preserve">установленным </w:t>
      </w:r>
      <w:hyperlink r:id="rId16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  <w:r w:rsidR="001A3382">
        <w:t xml:space="preserve"> </w:t>
      </w: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  <w:r w:rsidR="001A3382">
        <w:t xml:space="preserve"> </w:t>
      </w:r>
      <w:r w:rsidRPr="00B4135C">
        <w:t>в сфере закупок товаров, работ, услуг для обеспечения</w:t>
      </w:r>
      <w:r w:rsidR="001A3382">
        <w:t xml:space="preserve"> </w:t>
      </w:r>
      <w:r w:rsidRPr="00B4135C">
        <w:t>государственных и муниципальных нужд"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>────────────┐    Номер протокола при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несоответствии      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5F621E" w:rsidRDefault="005F621E" w:rsidP="005F621E">
      <w:pPr>
        <w:ind w:right="-104"/>
        <w:outlineLvl w:val="0"/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5F621E">
      <w:pPr>
        <w:ind w:right="-104"/>
        <w:outlineLvl w:val="0"/>
      </w:pPr>
    </w:p>
    <w:p w:rsidR="00191CE9" w:rsidRPr="00B4135C" w:rsidRDefault="00191CE9" w:rsidP="00080757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080757" w:rsidRDefault="00026D6B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Администрации с</w:t>
      </w:r>
      <w:r w:rsidR="00191CE9">
        <w:rPr>
          <w:sz w:val="16"/>
          <w:szCs w:val="16"/>
        </w:rPr>
        <w:t xml:space="preserve">ельского поселения </w:t>
      </w:r>
    </w:p>
    <w:p w:rsidR="00080757" w:rsidRDefault="008D2C74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Янгильский</w:t>
      </w:r>
      <w:r w:rsidR="00191CE9">
        <w:rPr>
          <w:sz w:val="16"/>
          <w:szCs w:val="16"/>
        </w:rPr>
        <w:t xml:space="preserve"> сельсовет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 Республики Башкортостан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"О контрактной 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системе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услуг для 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обеспечения государственных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и муниципальных нужд",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утвержденных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</w:t>
      </w:r>
      <w:r w:rsidR="005F621E" w:rsidRPr="00994B03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</w:t>
      </w:r>
      <w:r w:rsidR="005F621E" w:rsidRPr="00994B03">
        <w:rPr>
          <w:sz w:val="16"/>
          <w:szCs w:val="20"/>
        </w:rPr>
        <w:t xml:space="preserve">  </w:t>
      </w:r>
      <w:r>
        <w:rPr>
          <w:sz w:val="16"/>
          <w:szCs w:val="20"/>
        </w:rPr>
        <w:t xml:space="preserve"> └────────── </w:t>
      </w:r>
      <w:r w:rsidR="005F621E" w:rsidRPr="00994B03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</w:t>
      </w:r>
      <w:r w:rsidRPr="00225222">
        <w:rPr>
          <w:sz w:val="16"/>
          <w:szCs w:val="20"/>
        </w:rPr>
        <w:t>─┘</w:t>
      </w:r>
    </w:p>
    <w:p w:rsidR="00191CE9" w:rsidRPr="00225222" w:rsidRDefault="00191CE9" w:rsidP="00191CE9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191CE9" w:rsidRPr="00225222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191CE9" w:rsidRPr="00225222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191CE9" w:rsidRPr="00225222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191CE9" w:rsidRPr="00225222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225222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191CE9" w:rsidRPr="00225222" w:rsidRDefault="00191CE9" w:rsidP="00A94FA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Pr="00853CDF" w:rsidRDefault="00191CE9" w:rsidP="00191CE9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191CE9" w:rsidRPr="00225222" w:rsidRDefault="00191CE9" w:rsidP="00191CE9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5F621E" w:rsidRDefault="005F621E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853CDF" w:rsidRDefault="00191CE9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B4135C" w:rsidRDefault="00191CE9" w:rsidP="00080757">
      <w:pPr>
        <w:widowControl w:val="0"/>
        <w:autoSpaceDE w:val="0"/>
        <w:autoSpaceDN w:val="0"/>
      </w:pPr>
      <w:r w:rsidRPr="00B4135C">
        <w:t xml:space="preserve">Отметка Финансового </w:t>
      </w:r>
      <w:r>
        <w:t>органа</w:t>
      </w:r>
      <w:r w:rsidR="00080757">
        <w:t xml:space="preserve"> администрации сельского поселения </w:t>
      </w:r>
      <w:r w:rsidR="008D2C74">
        <w:t>Янгильский</w:t>
      </w:r>
      <w:r w:rsidR="00080757">
        <w:t xml:space="preserve"> сельсовет муниципального района Абзелиловский район Республики Башкортостан </w:t>
      </w:r>
      <w:r>
        <w:t>о</w:t>
      </w:r>
      <w:r w:rsidRPr="00B4135C">
        <w:t xml:space="preserve"> соответствии контролируемой информации требованиям,</w:t>
      </w:r>
      <w:r>
        <w:t xml:space="preserve"> </w:t>
      </w:r>
      <w:r w:rsidRPr="00B4135C">
        <w:t xml:space="preserve">установленным </w:t>
      </w:r>
      <w:hyperlink r:id="rId22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  <w:r w:rsidR="00080757">
        <w:t xml:space="preserve"> </w:t>
      </w: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  <w:r w:rsidR="00080757">
        <w:t xml:space="preserve"> </w:t>
      </w:r>
      <w:r w:rsidRPr="00B4135C">
        <w:t>в сфере закупок товаров, работ, услуг для обеспечения</w:t>
      </w:r>
      <w:r w:rsidR="00080757">
        <w:t xml:space="preserve"> </w:t>
      </w:r>
      <w:r w:rsidRPr="00B4135C">
        <w:t>государственных и муниципальных нужд"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5F621E" w:rsidRDefault="005F621E" w:rsidP="005F621E">
      <w:pPr>
        <w:ind w:right="-104"/>
        <w:outlineLvl w:val="0"/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5F621E">
      <w:pPr>
        <w:ind w:right="-104"/>
        <w:outlineLvl w:val="0"/>
      </w:pPr>
    </w:p>
    <w:p w:rsidR="00191CE9" w:rsidRPr="00EE36CF" w:rsidRDefault="00191CE9" w:rsidP="00080757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при осуществлении контроля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  <w:r w:rsidR="000807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191CE9" w:rsidRPr="00B4135C" w:rsidRDefault="008D2C74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Янгильский</w:t>
      </w:r>
      <w:r w:rsidR="00191CE9">
        <w:rPr>
          <w:sz w:val="16"/>
          <w:szCs w:val="16"/>
        </w:rPr>
        <w:t xml:space="preserve"> сельсовет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  <w:r w:rsidR="00191CE9">
        <w:rPr>
          <w:sz w:val="16"/>
          <w:szCs w:val="16"/>
        </w:rPr>
        <w:t>Абзелилов</w:t>
      </w:r>
      <w:r w:rsidR="00191CE9" w:rsidRPr="00B4135C">
        <w:rPr>
          <w:sz w:val="16"/>
          <w:szCs w:val="16"/>
        </w:rPr>
        <w:t>ский район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Республики Башкортостан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с субъектами контроля, указанными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контроля, предусмотренного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"О контрактной системе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услуг для обеспечения государственных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Постановлением Правительства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от 12 декабря 2015 г. № 1367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191CE9" w:rsidRDefault="00191CE9" w:rsidP="00191CE9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191CE9" w:rsidTr="00A94FA2">
        <w:tc>
          <w:tcPr>
            <w:tcW w:w="2228" w:type="dxa"/>
            <w:vMerge w:val="restart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191CE9" w:rsidRPr="00AD6AD5" w:rsidRDefault="00191CE9" w:rsidP="00A94FA2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191CE9" w:rsidTr="00A94FA2">
        <w:tc>
          <w:tcPr>
            <w:tcW w:w="2228" w:type="dxa"/>
            <w:vMerge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</w:tr>
      <w:tr w:rsidR="00191CE9" w:rsidTr="00A94FA2">
        <w:tc>
          <w:tcPr>
            <w:tcW w:w="2228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</w:tr>
    </w:tbl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соответствии  с </w:t>
      </w:r>
      <w:hyperlink r:id="rId28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</w:t>
      </w:r>
      <w:r w:rsidR="005F621E" w:rsidRPr="00994B03"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┌────────────┬───┐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└────────────┴───┘</w:t>
      </w:r>
    </w:p>
    <w:p w:rsidR="00191CE9" w:rsidRPr="00EC2EBB" w:rsidRDefault="00191CE9" w:rsidP="00191CE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EE36CF" w:rsidRDefault="00191CE9" w:rsidP="00080757">
      <w:pPr>
        <w:widowControl w:val="0"/>
        <w:autoSpaceDE w:val="0"/>
        <w:autoSpaceDN w:val="0"/>
      </w:pPr>
      <w:r w:rsidRPr="00EE36CF">
        <w:t xml:space="preserve">Отметка Финансового </w:t>
      </w:r>
      <w:r>
        <w:t>органа</w:t>
      </w:r>
      <w:r w:rsidR="00080757">
        <w:t xml:space="preserve"> администрации сельского поселения </w:t>
      </w:r>
      <w:r w:rsidR="008D2C74">
        <w:t>Янгильский</w:t>
      </w:r>
      <w:r w:rsidR="00080757">
        <w:t xml:space="preserve"> сельсовет муниципального района Абзелиловский район Республики Башкортостан</w:t>
      </w:r>
      <w:r w:rsidRPr="00EE36CF">
        <w:t xml:space="preserve"> о соответствии контролируемой информации требованиям, установленным </w:t>
      </w:r>
      <w:hyperlink r:id="rId29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  <w:r w:rsidR="00080757">
        <w:t xml:space="preserve"> </w:t>
      </w:r>
      <w:r w:rsidRPr="00EE36CF">
        <w:t>от 5 апреля 2013 года № 44-ФЗ "О контрактной системе</w:t>
      </w:r>
      <w:r w:rsidR="00080757">
        <w:t xml:space="preserve"> </w:t>
      </w:r>
      <w:r w:rsidRPr="00EE36CF">
        <w:t>в сфере закупок товаров, работ, услуг для обеспечения</w:t>
      </w:r>
      <w:r w:rsidR="00080757">
        <w:t xml:space="preserve"> </w:t>
      </w:r>
      <w:r w:rsidRPr="00EE36CF">
        <w:t>государственных и муниципальных нужд"</w:t>
      </w:r>
    </w:p>
    <w:p w:rsidR="00191CE9" w:rsidRPr="00EC2EBB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F621E" w:rsidRDefault="00191CE9" w:rsidP="00191CE9">
      <w:pPr>
        <w:rPr>
          <w:rFonts w:ascii="Courier New" w:hAnsi="Courier New" w:cs="Courier New"/>
          <w:sz w:val="16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191CE9" w:rsidRDefault="00191CE9" w:rsidP="00191CE9"/>
    <w:p w:rsidR="00191CE9" w:rsidRPr="00B4135C" w:rsidRDefault="00191CE9" w:rsidP="00080757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080757" w:rsidRDefault="00026D6B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</w:t>
      </w:r>
      <w:r w:rsidR="00191CE9" w:rsidRPr="00B4135C">
        <w:rPr>
          <w:sz w:val="16"/>
          <w:szCs w:val="16"/>
        </w:rPr>
        <w:t>дминистрации</w:t>
      </w:r>
      <w:r w:rsidR="00080757">
        <w:rPr>
          <w:sz w:val="16"/>
          <w:szCs w:val="16"/>
        </w:rPr>
        <w:t xml:space="preserve"> </w:t>
      </w:r>
      <w:r w:rsidR="00191CE9">
        <w:rPr>
          <w:sz w:val="16"/>
          <w:szCs w:val="16"/>
        </w:rPr>
        <w:t xml:space="preserve">сельского поселения </w:t>
      </w:r>
    </w:p>
    <w:p w:rsidR="00080757" w:rsidRDefault="008D2C74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Янгильский</w:t>
      </w:r>
      <w:r w:rsidR="00191CE9">
        <w:rPr>
          <w:sz w:val="16"/>
          <w:szCs w:val="16"/>
        </w:rPr>
        <w:t xml:space="preserve"> сельсовет</w:t>
      </w:r>
      <w:r w:rsidR="00080757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 Республики Башкортостан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частью 5 статьи 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99 Федерального закона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"О контрактной системе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сфере 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закупок товаров, работ,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услуг для обеспечения государственных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</w:t>
      </w:r>
      <w:proofErr w:type="gramStart"/>
      <w:r w:rsidRPr="00E32CCC">
        <w:rPr>
          <w:sz w:val="20"/>
          <w:szCs w:val="20"/>
        </w:rPr>
        <w:t>целях</w:t>
      </w:r>
      <w:proofErr w:type="gramEnd"/>
      <w:r w:rsidRPr="00E32CCC">
        <w:rPr>
          <w:sz w:val="20"/>
          <w:szCs w:val="20"/>
        </w:rPr>
        <w:t xml:space="preserve">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 </w:t>
      </w:r>
      <w:r w:rsidR="008D2C74">
        <w:rPr>
          <w:color w:val="000000"/>
          <w:sz w:val="20"/>
          <w:szCs w:val="20"/>
        </w:rPr>
        <w:t>Янгильский</w:t>
      </w:r>
      <w:r w:rsidR="005F621E" w:rsidRPr="005F62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сельсовет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Абзелило</w:t>
      </w:r>
      <w:r w:rsidRPr="00E32CCC">
        <w:rPr>
          <w:color w:val="000000"/>
          <w:sz w:val="20"/>
          <w:szCs w:val="20"/>
        </w:rPr>
        <w:t xml:space="preserve">вский район Республики Башкортостан 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91CE9" w:rsidRPr="00853CDF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91CE9" w:rsidRPr="00853CDF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080757" w:rsidRPr="00E32CCC" w:rsidTr="00080757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191CE9" w:rsidRPr="00E32CCC" w:rsidRDefault="00191CE9" w:rsidP="00080757">
            <w:pPr>
              <w:widowControl w:val="0"/>
              <w:autoSpaceDE w:val="0"/>
              <w:autoSpaceDN w:val="0"/>
              <w:ind w:left="-222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080757" w:rsidRPr="00E32CC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080757" w:rsidRPr="00E32CCC" w:rsidTr="00080757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E32CC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E32CCC" w:rsidTr="00080757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080757" w:rsidRPr="00E32CC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="00080757">
        <w:rPr>
          <w:rFonts w:ascii="Courier New" w:hAnsi="Courier New" w:cs="Courier New"/>
          <w:sz w:val="16"/>
          <w:szCs w:val="20"/>
        </w:rPr>
        <w:t xml:space="preserve">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080757" w:rsidRPr="00EC2EBB" w:rsidRDefault="00191CE9" w:rsidP="0008075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└────────────┴</w:t>
      </w:r>
      <w:r w:rsidR="00080757" w:rsidRPr="00EC2EBB">
        <w:rPr>
          <w:rFonts w:ascii="Calibri" w:hAnsi="Calibri" w:cs="Calibri"/>
          <w:szCs w:val="20"/>
        </w:rPr>
        <w:t>--------------------------------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&lt;*&gt; Заполняется при наличии.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&lt;**&gt; Указывается исходящий номер.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080757" w:rsidRPr="00EE36CF" w:rsidRDefault="00080757" w:rsidP="00080757">
      <w:pPr>
        <w:widowControl w:val="0"/>
        <w:autoSpaceDE w:val="0"/>
        <w:autoSpaceDN w:val="0"/>
      </w:pPr>
      <w:r w:rsidRPr="00EE36CF">
        <w:t xml:space="preserve">Отметка Финансового </w:t>
      </w:r>
      <w:r>
        <w:t xml:space="preserve">органа администрации сельского поселения </w:t>
      </w:r>
      <w:r w:rsidR="008D2C74">
        <w:t>Янгильский</w:t>
      </w:r>
      <w:r>
        <w:t xml:space="preserve"> сельсовет муниципального района Абзелиловский район Республики Башкортостан</w:t>
      </w:r>
      <w:r w:rsidRPr="00EE36CF">
        <w:t xml:space="preserve"> о соответствии контролируемой информации требованиям, установленным </w:t>
      </w:r>
      <w:hyperlink r:id="rId35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  <w:r>
        <w:t xml:space="preserve"> </w:t>
      </w:r>
      <w:r w:rsidRPr="00EE36CF">
        <w:t>от 5 апреля 2013 года № 44-ФЗ "О контрактной системе</w:t>
      </w:r>
      <w:r>
        <w:t xml:space="preserve"> </w:t>
      </w:r>
      <w:r w:rsidRPr="00EE36CF">
        <w:t>в сфере закупок товаров, работ, услуг для обеспечения</w:t>
      </w:r>
      <w:r>
        <w:t xml:space="preserve"> </w:t>
      </w:r>
      <w:r w:rsidRPr="00EE36CF">
        <w:t>государственных и муниципальных нужд"</w:t>
      </w:r>
    </w:p>
    <w:p w:rsidR="00080757" w:rsidRPr="00EC2EBB" w:rsidRDefault="00080757" w:rsidP="00080757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080757" w:rsidRDefault="00080757" w:rsidP="00080757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  <w:sectPr w:rsidR="00080757" w:rsidRPr="00080757" w:rsidSect="000807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</w:p>
    <w:p w:rsidR="00191CE9" w:rsidRDefault="00191CE9" w:rsidP="00080757">
      <w:pPr>
        <w:ind w:right="-104"/>
        <w:outlineLvl w:val="0"/>
      </w:pPr>
    </w:p>
    <w:p w:rsidR="00191CE9" w:rsidRPr="00B4135C" w:rsidRDefault="00191CE9" w:rsidP="00191CE9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080757">
        <w:rPr>
          <w:sz w:val="16"/>
          <w:szCs w:val="16"/>
        </w:rPr>
        <w:t>5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191CE9" w:rsidRDefault="00026D6B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191CE9" w:rsidRPr="00B4135C">
        <w:rPr>
          <w:sz w:val="16"/>
          <w:szCs w:val="16"/>
        </w:rPr>
        <w:t>дминистрации</w:t>
      </w:r>
    </w:p>
    <w:p w:rsidR="00191CE9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D2C74">
        <w:rPr>
          <w:sz w:val="16"/>
          <w:szCs w:val="16"/>
        </w:rPr>
        <w:t>Янгильский</w:t>
      </w:r>
      <w:r>
        <w:rPr>
          <w:sz w:val="16"/>
          <w:szCs w:val="16"/>
        </w:rPr>
        <w:t xml:space="preserve"> сельсовет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Абзелиловский район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9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0"/>
        <w:gridCol w:w="1595"/>
        <w:gridCol w:w="1595"/>
        <w:gridCol w:w="1670"/>
        <w:gridCol w:w="1595"/>
        <w:gridCol w:w="1595"/>
      </w:tblGrid>
      <w:tr w:rsidR="00191CE9" w:rsidTr="00A94FA2">
        <w:tc>
          <w:tcPr>
            <w:tcW w:w="4785" w:type="dxa"/>
            <w:gridSpan w:val="3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191CE9" w:rsidRDefault="00191CE9" w:rsidP="00A94FA2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191CE9" w:rsidTr="00A94FA2"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191CE9" w:rsidTr="00A94FA2"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191CE9" w:rsidTr="00A94FA2"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2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191CE9" w:rsidRPr="00420327" w:rsidRDefault="00191CE9" w:rsidP="00191CE9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2D0728" w:rsidRDefault="002D0728" w:rsidP="00191CE9">
      <w:pPr>
        <w:widowControl w:val="0"/>
        <w:autoSpaceDE w:val="0"/>
        <w:autoSpaceDN w:val="0"/>
        <w:jc w:val="center"/>
      </w:pPr>
    </w:p>
    <w:sectPr w:rsidR="002D0728" w:rsidSect="007C1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A322EFBE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6"/>
    <w:rsid w:val="000057B3"/>
    <w:rsid w:val="00026D6B"/>
    <w:rsid w:val="0003212E"/>
    <w:rsid w:val="0003541F"/>
    <w:rsid w:val="00036215"/>
    <w:rsid w:val="00036B21"/>
    <w:rsid w:val="000406B4"/>
    <w:rsid w:val="00042C49"/>
    <w:rsid w:val="00057935"/>
    <w:rsid w:val="00064B0A"/>
    <w:rsid w:val="000674F2"/>
    <w:rsid w:val="00071DA2"/>
    <w:rsid w:val="00072A5A"/>
    <w:rsid w:val="000774AA"/>
    <w:rsid w:val="00080757"/>
    <w:rsid w:val="00092A78"/>
    <w:rsid w:val="000A2EF6"/>
    <w:rsid w:val="000B4E46"/>
    <w:rsid w:val="000C05D2"/>
    <w:rsid w:val="000C09EA"/>
    <w:rsid w:val="000C5B98"/>
    <w:rsid w:val="000D2DE7"/>
    <w:rsid w:val="000D4191"/>
    <w:rsid w:val="000F50B1"/>
    <w:rsid w:val="000F6863"/>
    <w:rsid w:val="00105765"/>
    <w:rsid w:val="00111F19"/>
    <w:rsid w:val="001162DE"/>
    <w:rsid w:val="00134D0F"/>
    <w:rsid w:val="00140992"/>
    <w:rsid w:val="00140EAA"/>
    <w:rsid w:val="0014640E"/>
    <w:rsid w:val="00146E6C"/>
    <w:rsid w:val="00162C6F"/>
    <w:rsid w:val="00163122"/>
    <w:rsid w:val="00164C58"/>
    <w:rsid w:val="0016539A"/>
    <w:rsid w:val="001659EA"/>
    <w:rsid w:val="00167EEF"/>
    <w:rsid w:val="001775E3"/>
    <w:rsid w:val="001820C9"/>
    <w:rsid w:val="0018768C"/>
    <w:rsid w:val="00191CE9"/>
    <w:rsid w:val="00191E02"/>
    <w:rsid w:val="00191FD2"/>
    <w:rsid w:val="001955EF"/>
    <w:rsid w:val="00195E00"/>
    <w:rsid w:val="001A22EE"/>
    <w:rsid w:val="001A3382"/>
    <w:rsid w:val="001A54FC"/>
    <w:rsid w:val="001B3DBE"/>
    <w:rsid w:val="001B6823"/>
    <w:rsid w:val="001B6A18"/>
    <w:rsid w:val="001B6A58"/>
    <w:rsid w:val="001C06BC"/>
    <w:rsid w:val="001C3DB8"/>
    <w:rsid w:val="001E12A3"/>
    <w:rsid w:val="001E6B98"/>
    <w:rsid w:val="001F17E8"/>
    <w:rsid w:val="0020450D"/>
    <w:rsid w:val="00204E9C"/>
    <w:rsid w:val="002107EF"/>
    <w:rsid w:val="00211FAA"/>
    <w:rsid w:val="002163DF"/>
    <w:rsid w:val="002169B2"/>
    <w:rsid w:val="0023060A"/>
    <w:rsid w:val="00232A4D"/>
    <w:rsid w:val="002424CB"/>
    <w:rsid w:val="0024481E"/>
    <w:rsid w:val="0025457D"/>
    <w:rsid w:val="00262617"/>
    <w:rsid w:val="00267AB8"/>
    <w:rsid w:val="00274AC7"/>
    <w:rsid w:val="00275F1E"/>
    <w:rsid w:val="00282589"/>
    <w:rsid w:val="002902B7"/>
    <w:rsid w:val="0029171F"/>
    <w:rsid w:val="00294517"/>
    <w:rsid w:val="002A0932"/>
    <w:rsid w:val="002A21AB"/>
    <w:rsid w:val="002A57B6"/>
    <w:rsid w:val="002B61F4"/>
    <w:rsid w:val="002C07A8"/>
    <w:rsid w:val="002D064F"/>
    <w:rsid w:val="002D0728"/>
    <w:rsid w:val="002D3B64"/>
    <w:rsid w:val="002D59EC"/>
    <w:rsid w:val="002E0DC8"/>
    <w:rsid w:val="002E3901"/>
    <w:rsid w:val="002F114A"/>
    <w:rsid w:val="00305492"/>
    <w:rsid w:val="003133DF"/>
    <w:rsid w:val="0031499B"/>
    <w:rsid w:val="00331174"/>
    <w:rsid w:val="00337A71"/>
    <w:rsid w:val="00354F29"/>
    <w:rsid w:val="00367E36"/>
    <w:rsid w:val="00380F0F"/>
    <w:rsid w:val="00380FE6"/>
    <w:rsid w:val="00381B62"/>
    <w:rsid w:val="003833D7"/>
    <w:rsid w:val="00384C2D"/>
    <w:rsid w:val="00390A8C"/>
    <w:rsid w:val="00393987"/>
    <w:rsid w:val="00394E37"/>
    <w:rsid w:val="00396DAF"/>
    <w:rsid w:val="003A2542"/>
    <w:rsid w:val="003B113D"/>
    <w:rsid w:val="003B218B"/>
    <w:rsid w:val="003B3452"/>
    <w:rsid w:val="003B39A7"/>
    <w:rsid w:val="003C3835"/>
    <w:rsid w:val="003C4600"/>
    <w:rsid w:val="003D1561"/>
    <w:rsid w:val="003D1633"/>
    <w:rsid w:val="003D1C48"/>
    <w:rsid w:val="003E19AC"/>
    <w:rsid w:val="003F1D73"/>
    <w:rsid w:val="0040155C"/>
    <w:rsid w:val="00404DEA"/>
    <w:rsid w:val="00424B6A"/>
    <w:rsid w:val="004308C7"/>
    <w:rsid w:val="004368F1"/>
    <w:rsid w:val="004530FA"/>
    <w:rsid w:val="0045405F"/>
    <w:rsid w:val="0045647D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1F50"/>
    <w:rsid w:val="004E61BF"/>
    <w:rsid w:val="004E7E1A"/>
    <w:rsid w:val="005033E1"/>
    <w:rsid w:val="0051087F"/>
    <w:rsid w:val="0051292A"/>
    <w:rsid w:val="00512F89"/>
    <w:rsid w:val="00513D32"/>
    <w:rsid w:val="00520852"/>
    <w:rsid w:val="00522538"/>
    <w:rsid w:val="005227DC"/>
    <w:rsid w:val="00524A4C"/>
    <w:rsid w:val="005354BB"/>
    <w:rsid w:val="00541C14"/>
    <w:rsid w:val="00554EAF"/>
    <w:rsid w:val="00555DC6"/>
    <w:rsid w:val="005670D9"/>
    <w:rsid w:val="005677B5"/>
    <w:rsid w:val="005705A6"/>
    <w:rsid w:val="00572C2D"/>
    <w:rsid w:val="005741EE"/>
    <w:rsid w:val="00591B6A"/>
    <w:rsid w:val="00593A27"/>
    <w:rsid w:val="0059511D"/>
    <w:rsid w:val="005972DA"/>
    <w:rsid w:val="005A01EC"/>
    <w:rsid w:val="005A1C89"/>
    <w:rsid w:val="005C20BB"/>
    <w:rsid w:val="005C6415"/>
    <w:rsid w:val="005D4ECF"/>
    <w:rsid w:val="005E2304"/>
    <w:rsid w:val="005F4AAD"/>
    <w:rsid w:val="005F621E"/>
    <w:rsid w:val="0061064A"/>
    <w:rsid w:val="006118ED"/>
    <w:rsid w:val="00612D3A"/>
    <w:rsid w:val="00622894"/>
    <w:rsid w:val="00630933"/>
    <w:rsid w:val="006377B1"/>
    <w:rsid w:val="00644DA4"/>
    <w:rsid w:val="00656CEC"/>
    <w:rsid w:val="00657955"/>
    <w:rsid w:val="00662D51"/>
    <w:rsid w:val="00672036"/>
    <w:rsid w:val="0067421A"/>
    <w:rsid w:val="00682B08"/>
    <w:rsid w:val="0069219E"/>
    <w:rsid w:val="006932B5"/>
    <w:rsid w:val="00694132"/>
    <w:rsid w:val="00695F80"/>
    <w:rsid w:val="006A374D"/>
    <w:rsid w:val="006A3BF6"/>
    <w:rsid w:val="006A695A"/>
    <w:rsid w:val="006B2E67"/>
    <w:rsid w:val="006B54DE"/>
    <w:rsid w:val="006B6BB2"/>
    <w:rsid w:val="006B7D97"/>
    <w:rsid w:val="006C4F61"/>
    <w:rsid w:val="006C6852"/>
    <w:rsid w:val="006D4125"/>
    <w:rsid w:val="006D4AA2"/>
    <w:rsid w:val="006D71D6"/>
    <w:rsid w:val="006F3086"/>
    <w:rsid w:val="006F57C2"/>
    <w:rsid w:val="0070171F"/>
    <w:rsid w:val="007061D3"/>
    <w:rsid w:val="00712980"/>
    <w:rsid w:val="007130A9"/>
    <w:rsid w:val="007157B5"/>
    <w:rsid w:val="00717650"/>
    <w:rsid w:val="007215FC"/>
    <w:rsid w:val="00723F27"/>
    <w:rsid w:val="00730FA3"/>
    <w:rsid w:val="00735AAD"/>
    <w:rsid w:val="0073752E"/>
    <w:rsid w:val="00737612"/>
    <w:rsid w:val="0074060A"/>
    <w:rsid w:val="00753EA2"/>
    <w:rsid w:val="00760A54"/>
    <w:rsid w:val="007638BA"/>
    <w:rsid w:val="00766811"/>
    <w:rsid w:val="00776866"/>
    <w:rsid w:val="007834FD"/>
    <w:rsid w:val="00785686"/>
    <w:rsid w:val="00794A6D"/>
    <w:rsid w:val="007A14DB"/>
    <w:rsid w:val="007A38CA"/>
    <w:rsid w:val="007A4456"/>
    <w:rsid w:val="007B26A6"/>
    <w:rsid w:val="007C119D"/>
    <w:rsid w:val="007C3EF4"/>
    <w:rsid w:val="007C5EF9"/>
    <w:rsid w:val="007D06D7"/>
    <w:rsid w:val="007D1BB4"/>
    <w:rsid w:val="007D31B8"/>
    <w:rsid w:val="007D4A55"/>
    <w:rsid w:val="007D5EEB"/>
    <w:rsid w:val="007D7C60"/>
    <w:rsid w:val="007E1AB8"/>
    <w:rsid w:val="007E25AA"/>
    <w:rsid w:val="007E30EF"/>
    <w:rsid w:val="007F6487"/>
    <w:rsid w:val="007F721A"/>
    <w:rsid w:val="00801D89"/>
    <w:rsid w:val="008027E9"/>
    <w:rsid w:val="0081244A"/>
    <w:rsid w:val="00831D30"/>
    <w:rsid w:val="00835BD5"/>
    <w:rsid w:val="00840462"/>
    <w:rsid w:val="0084698A"/>
    <w:rsid w:val="00851F0E"/>
    <w:rsid w:val="0086683F"/>
    <w:rsid w:val="00887BBA"/>
    <w:rsid w:val="00892064"/>
    <w:rsid w:val="008922BB"/>
    <w:rsid w:val="00897AC5"/>
    <w:rsid w:val="008A1CFD"/>
    <w:rsid w:val="008A3ED5"/>
    <w:rsid w:val="008A519D"/>
    <w:rsid w:val="008B1FE3"/>
    <w:rsid w:val="008B610D"/>
    <w:rsid w:val="008C1B5D"/>
    <w:rsid w:val="008C7704"/>
    <w:rsid w:val="008D0277"/>
    <w:rsid w:val="008D0751"/>
    <w:rsid w:val="008D2C74"/>
    <w:rsid w:val="008D3443"/>
    <w:rsid w:val="008E5C85"/>
    <w:rsid w:val="008E5D2C"/>
    <w:rsid w:val="00902F89"/>
    <w:rsid w:val="00903A13"/>
    <w:rsid w:val="00907F73"/>
    <w:rsid w:val="0091277C"/>
    <w:rsid w:val="00914EE8"/>
    <w:rsid w:val="009176BE"/>
    <w:rsid w:val="00917AC2"/>
    <w:rsid w:val="00934C8D"/>
    <w:rsid w:val="00934C91"/>
    <w:rsid w:val="00936C9B"/>
    <w:rsid w:val="00947590"/>
    <w:rsid w:val="00955CAC"/>
    <w:rsid w:val="00963B6D"/>
    <w:rsid w:val="00964004"/>
    <w:rsid w:val="009640CC"/>
    <w:rsid w:val="00964141"/>
    <w:rsid w:val="0097361A"/>
    <w:rsid w:val="009873FE"/>
    <w:rsid w:val="00991DC6"/>
    <w:rsid w:val="00994B03"/>
    <w:rsid w:val="00995374"/>
    <w:rsid w:val="009963C3"/>
    <w:rsid w:val="009A34F5"/>
    <w:rsid w:val="009A482B"/>
    <w:rsid w:val="009A6FF8"/>
    <w:rsid w:val="009B1FEC"/>
    <w:rsid w:val="009B48D2"/>
    <w:rsid w:val="009B6F44"/>
    <w:rsid w:val="009C3339"/>
    <w:rsid w:val="009C486A"/>
    <w:rsid w:val="009C565D"/>
    <w:rsid w:val="009D2596"/>
    <w:rsid w:val="009D31F9"/>
    <w:rsid w:val="009D7D0F"/>
    <w:rsid w:val="009E61C6"/>
    <w:rsid w:val="009F4EED"/>
    <w:rsid w:val="00A00173"/>
    <w:rsid w:val="00A1154D"/>
    <w:rsid w:val="00A11EC1"/>
    <w:rsid w:val="00A211C5"/>
    <w:rsid w:val="00A21CCC"/>
    <w:rsid w:val="00A27C00"/>
    <w:rsid w:val="00A30F30"/>
    <w:rsid w:val="00A322CA"/>
    <w:rsid w:val="00A407BB"/>
    <w:rsid w:val="00A41A1C"/>
    <w:rsid w:val="00A42279"/>
    <w:rsid w:val="00A45EC2"/>
    <w:rsid w:val="00A5047E"/>
    <w:rsid w:val="00A56895"/>
    <w:rsid w:val="00A62B5F"/>
    <w:rsid w:val="00A707B3"/>
    <w:rsid w:val="00A711AE"/>
    <w:rsid w:val="00A73456"/>
    <w:rsid w:val="00A842BD"/>
    <w:rsid w:val="00A8744E"/>
    <w:rsid w:val="00A91410"/>
    <w:rsid w:val="00A924FD"/>
    <w:rsid w:val="00A92779"/>
    <w:rsid w:val="00A92CA1"/>
    <w:rsid w:val="00A94FA2"/>
    <w:rsid w:val="00A95B17"/>
    <w:rsid w:val="00AA4CB3"/>
    <w:rsid w:val="00AA4F99"/>
    <w:rsid w:val="00AA5060"/>
    <w:rsid w:val="00AB092B"/>
    <w:rsid w:val="00AB2ACB"/>
    <w:rsid w:val="00AB5A62"/>
    <w:rsid w:val="00AD1624"/>
    <w:rsid w:val="00AD548B"/>
    <w:rsid w:val="00AD71C0"/>
    <w:rsid w:val="00AE3BD0"/>
    <w:rsid w:val="00AE3FBD"/>
    <w:rsid w:val="00AF38E4"/>
    <w:rsid w:val="00AF55B4"/>
    <w:rsid w:val="00B01EF6"/>
    <w:rsid w:val="00B05959"/>
    <w:rsid w:val="00B05FF3"/>
    <w:rsid w:val="00B072CA"/>
    <w:rsid w:val="00B10329"/>
    <w:rsid w:val="00B13947"/>
    <w:rsid w:val="00B17D6E"/>
    <w:rsid w:val="00B20F20"/>
    <w:rsid w:val="00B26F52"/>
    <w:rsid w:val="00B30D34"/>
    <w:rsid w:val="00B336EE"/>
    <w:rsid w:val="00B345B9"/>
    <w:rsid w:val="00B405F8"/>
    <w:rsid w:val="00B463E7"/>
    <w:rsid w:val="00B50088"/>
    <w:rsid w:val="00B62B50"/>
    <w:rsid w:val="00B71F71"/>
    <w:rsid w:val="00B76C99"/>
    <w:rsid w:val="00B856BF"/>
    <w:rsid w:val="00BA29BE"/>
    <w:rsid w:val="00BA7862"/>
    <w:rsid w:val="00BA7FE6"/>
    <w:rsid w:val="00BB486B"/>
    <w:rsid w:val="00BC076A"/>
    <w:rsid w:val="00BC0DC8"/>
    <w:rsid w:val="00BD031E"/>
    <w:rsid w:val="00BD66B8"/>
    <w:rsid w:val="00BE16C8"/>
    <w:rsid w:val="00BE2080"/>
    <w:rsid w:val="00BE7305"/>
    <w:rsid w:val="00BF18E3"/>
    <w:rsid w:val="00BF2540"/>
    <w:rsid w:val="00BF29A3"/>
    <w:rsid w:val="00BF3E51"/>
    <w:rsid w:val="00BF7D9B"/>
    <w:rsid w:val="00C0077F"/>
    <w:rsid w:val="00C02C9B"/>
    <w:rsid w:val="00C02E54"/>
    <w:rsid w:val="00C07E25"/>
    <w:rsid w:val="00C340DA"/>
    <w:rsid w:val="00C43361"/>
    <w:rsid w:val="00C44BFD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83FE6"/>
    <w:rsid w:val="00C949C3"/>
    <w:rsid w:val="00CA04CA"/>
    <w:rsid w:val="00CA5293"/>
    <w:rsid w:val="00CC304C"/>
    <w:rsid w:val="00CC3E4C"/>
    <w:rsid w:val="00CC5569"/>
    <w:rsid w:val="00CC6DDA"/>
    <w:rsid w:val="00CF4D02"/>
    <w:rsid w:val="00CF7B45"/>
    <w:rsid w:val="00D0715A"/>
    <w:rsid w:val="00D11820"/>
    <w:rsid w:val="00D2356E"/>
    <w:rsid w:val="00D50332"/>
    <w:rsid w:val="00D53F9B"/>
    <w:rsid w:val="00D546DB"/>
    <w:rsid w:val="00D54C94"/>
    <w:rsid w:val="00D617FD"/>
    <w:rsid w:val="00D73056"/>
    <w:rsid w:val="00D74ABE"/>
    <w:rsid w:val="00D75731"/>
    <w:rsid w:val="00D94744"/>
    <w:rsid w:val="00D97F7E"/>
    <w:rsid w:val="00DA0A56"/>
    <w:rsid w:val="00DA0F85"/>
    <w:rsid w:val="00DA1B6D"/>
    <w:rsid w:val="00DA6283"/>
    <w:rsid w:val="00DA6863"/>
    <w:rsid w:val="00DC58DC"/>
    <w:rsid w:val="00DC6056"/>
    <w:rsid w:val="00DD48B0"/>
    <w:rsid w:val="00DE1362"/>
    <w:rsid w:val="00DF2B30"/>
    <w:rsid w:val="00DF606A"/>
    <w:rsid w:val="00E051B8"/>
    <w:rsid w:val="00E079EC"/>
    <w:rsid w:val="00E25893"/>
    <w:rsid w:val="00E33E23"/>
    <w:rsid w:val="00E41FF4"/>
    <w:rsid w:val="00E460F9"/>
    <w:rsid w:val="00E50F71"/>
    <w:rsid w:val="00E55407"/>
    <w:rsid w:val="00E55B19"/>
    <w:rsid w:val="00E81740"/>
    <w:rsid w:val="00E84228"/>
    <w:rsid w:val="00EA037B"/>
    <w:rsid w:val="00EA4B62"/>
    <w:rsid w:val="00EA741E"/>
    <w:rsid w:val="00EC0C78"/>
    <w:rsid w:val="00ED3A91"/>
    <w:rsid w:val="00ED64EF"/>
    <w:rsid w:val="00EE2A1F"/>
    <w:rsid w:val="00EE33E6"/>
    <w:rsid w:val="00F16F99"/>
    <w:rsid w:val="00F17FDC"/>
    <w:rsid w:val="00F20E8D"/>
    <w:rsid w:val="00F214AF"/>
    <w:rsid w:val="00F23B99"/>
    <w:rsid w:val="00F35CA4"/>
    <w:rsid w:val="00F40D58"/>
    <w:rsid w:val="00F525B8"/>
    <w:rsid w:val="00F57BCC"/>
    <w:rsid w:val="00F61894"/>
    <w:rsid w:val="00F62495"/>
    <w:rsid w:val="00F63A50"/>
    <w:rsid w:val="00F64EA2"/>
    <w:rsid w:val="00F650AA"/>
    <w:rsid w:val="00F67672"/>
    <w:rsid w:val="00F833FD"/>
    <w:rsid w:val="00F84AEE"/>
    <w:rsid w:val="00F86AA5"/>
    <w:rsid w:val="00F902C5"/>
    <w:rsid w:val="00F911F4"/>
    <w:rsid w:val="00FA048A"/>
    <w:rsid w:val="00FA389F"/>
    <w:rsid w:val="00FB3794"/>
    <w:rsid w:val="00FB731E"/>
    <w:rsid w:val="00FC56A1"/>
    <w:rsid w:val="00FC5A4F"/>
    <w:rsid w:val="00FE24F3"/>
    <w:rsid w:val="00FE54C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5"/>
    <w:rsid w:val="00191CE9"/>
    <w:pPr>
      <w:spacing w:after="120"/>
      <w:ind w:left="283" w:firstLine="0"/>
      <w:jc w:val="left"/>
    </w:pPr>
  </w:style>
  <w:style w:type="character" w:styleId="a7">
    <w:name w:val="Hyperlink"/>
    <w:semiHidden/>
    <w:unhideWhenUsed/>
    <w:rsid w:val="00191CE9"/>
    <w:rPr>
      <w:color w:val="0000FF"/>
      <w:u w:val="single"/>
    </w:rPr>
  </w:style>
  <w:style w:type="paragraph" w:styleId="a8">
    <w:name w:val="Subtitle"/>
    <w:basedOn w:val="a"/>
    <w:link w:val="a9"/>
    <w:qFormat/>
    <w:rsid w:val="00191CE9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91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9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91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91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1C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4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4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5"/>
    <w:rsid w:val="00191CE9"/>
    <w:pPr>
      <w:spacing w:after="120"/>
      <w:ind w:left="283" w:firstLine="0"/>
      <w:jc w:val="left"/>
    </w:pPr>
  </w:style>
  <w:style w:type="character" w:styleId="a7">
    <w:name w:val="Hyperlink"/>
    <w:semiHidden/>
    <w:unhideWhenUsed/>
    <w:rsid w:val="00191CE9"/>
    <w:rPr>
      <w:color w:val="0000FF"/>
      <w:u w:val="single"/>
    </w:rPr>
  </w:style>
  <w:style w:type="paragraph" w:styleId="a8">
    <w:name w:val="Subtitle"/>
    <w:basedOn w:val="a"/>
    <w:link w:val="a9"/>
    <w:qFormat/>
    <w:rsid w:val="00191CE9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91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9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91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91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1C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4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4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9C92-2A4D-41DD-949A-0B94E60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8505</Words>
  <Characters>48482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Сельсовет</cp:lastModifiedBy>
  <cp:revision>6</cp:revision>
  <cp:lastPrinted>2020-02-03T10:50:00Z</cp:lastPrinted>
  <dcterms:created xsi:type="dcterms:W3CDTF">2020-02-03T07:10:00Z</dcterms:created>
  <dcterms:modified xsi:type="dcterms:W3CDTF">2020-02-05T07:04:00Z</dcterms:modified>
</cp:coreProperties>
</file>